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BDD02" w14:textId="50F47044" w:rsidR="002C33E2" w:rsidRDefault="0054674D" w:rsidP="00AC57A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101</w:t>
      </w:r>
      <w:r w:rsidR="00AC57AF">
        <w:rPr>
          <w:b/>
          <w:sz w:val="24"/>
          <w:szCs w:val="24"/>
        </w:rPr>
        <w:t xml:space="preserve"> </w:t>
      </w:r>
      <w:r w:rsidR="00A81E8A">
        <w:rPr>
          <w:rFonts w:hint="eastAsia"/>
          <w:b/>
          <w:sz w:val="24"/>
          <w:szCs w:val="24"/>
        </w:rPr>
        <w:t>玻璃输液瓶通则</w:t>
      </w:r>
    </w:p>
    <w:p w14:paraId="6DDA5A0F" w14:textId="77777777" w:rsidR="002C33E2" w:rsidRDefault="002C33E2" w:rsidP="00AC57AF">
      <w:pPr>
        <w:suppressLineNumbers/>
      </w:pPr>
    </w:p>
    <w:p w14:paraId="6CBDE476" w14:textId="77777777" w:rsidR="002C33E2" w:rsidRDefault="00A81E8A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1 </w:t>
      </w:r>
      <w:r>
        <w:rPr>
          <w:rFonts w:hint="eastAsia"/>
          <w:b/>
          <w:bCs/>
        </w:rPr>
        <w:t>范围</w:t>
      </w:r>
    </w:p>
    <w:p w14:paraId="4BF27C2D" w14:textId="77777777" w:rsidR="002C33E2" w:rsidRDefault="00A81E8A">
      <w:pPr>
        <w:spacing w:line="360" w:lineRule="auto"/>
        <w:ind w:firstLineChars="200" w:firstLine="420"/>
        <w:rPr>
          <w:rFonts w:ascii="宋体" w:hAnsi="宋体" w:cs="仿宋"/>
          <w:b/>
          <w:color w:val="FF0000"/>
          <w:szCs w:val="21"/>
        </w:rPr>
      </w:pPr>
      <w:r>
        <w:rPr>
          <w:rFonts w:hint="eastAsia"/>
          <w:bCs/>
        </w:rPr>
        <w:t>本通则规定了玻璃输液瓶的分类和要求。</w:t>
      </w:r>
    </w:p>
    <w:p w14:paraId="3092A72F" w14:textId="77777777" w:rsidR="002C33E2" w:rsidRDefault="00A81E8A">
      <w:pPr>
        <w:spacing w:line="360" w:lineRule="auto"/>
        <w:ind w:firstLineChars="200" w:firstLine="420"/>
        <w:rPr>
          <w:bCs/>
        </w:rPr>
      </w:pPr>
      <w:r>
        <w:rPr>
          <w:rFonts w:hint="eastAsia"/>
          <w:bCs/>
        </w:rPr>
        <w:t>本通则适用于盛装大容量注射液的玻璃输液瓶。</w:t>
      </w:r>
    </w:p>
    <w:p w14:paraId="052491F1" w14:textId="77777777" w:rsidR="002C33E2" w:rsidRDefault="00A81E8A">
      <w:pPr>
        <w:spacing w:line="360" w:lineRule="auto"/>
        <w:rPr>
          <w:b/>
        </w:rPr>
      </w:pPr>
      <w:r>
        <w:rPr>
          <w:rFonts w:hint="eastAsia"/>
          <w:b/>
        </w:rPr>
        <w:t xml:space="preserve">2 </w:t>
      </w:r>
      <w:r>
        <w:rPr>
          <w:rFonts w:hint="eastAsia"/>
          <w:b/>
        </w:rPr>
        <w:t>规范性引用文件</w:t>
      </w:r>
    </w:p>
    <w:p w14:paraId="728887D8" w14:textId="47FDC20D" w:rsidR="0087088E" w:rsidRDefault="0087088E" w:rsidP="0087088E">
      <w:pPr>
        <w:spacing w:line="360" w:lineRule="auto"/>
        <w:ind w:firstLineChars="200" w:firstLine="420"/>
        <w:rPr>
          <w:rFonts w:ascii="宋体" w:hAnsi="宋体"/>
          <w:bCs/>
          <w:color w:val="000000"/>
          <w:szCs w:val="21"/>
        </w:rPr>
      </w:pPr>
      <w:bookmarkStart w:id="0" w:name="_Hlk102653044"/>
      <w:r>
        <w:rPr>
          <w:rFonts w:ascii="宋体" w:hAnsi="宋体" w:hint="eastAsia"/>
          <w:bCs/>
          <w:color w:val="000000"/>
          <w:szCs w:val="21"/>
        </w:rPr>
        <w:t>下列文件中的内容通过文中的规范性引用而构成本</w:t>
      </w:r>
      <w:r w:rsidR="005662B8">
        <w:rPr>
          <w:rFonts w:ascii="宋体" w:hAnsi="宋体" w:hint="eastAsia"/>
          <w:bCs/>
          <w:color w:val="000000"/>
          <w:szCs w:val="21"/>
        </w:rPr>
        <w:t>通则</w:t>
      </w:r>
      <w:r>
        <w:rPr>
          <w:rFonts w:ascii="宋体" w:hAnsi="宋体" w:hint="eastAsia"/>
          <w:bCs/>
          <w:color w:val="000000"/>
          <w:szCs w:val="21"/>
        </w:rPr>
        <w:t>必不可少的条款。其最新版本（包括增补本、勘误表等形式）适用于本通则。</w:t>
      </w:r>
    </w:p>
    <w:p w14:paraId="1E4BA9C7" w14:textId="77777777" w:rsidR="002C33E2" w:rsidRDefault="00A81E8A">
      <w:pPr>
        <w:spacing w:line="360" w:lineRule="auto"/>
        <w:ind w:firstLineChars="200" w:firstLine="420"/>
      </w:pPr>
      <w:r>
        <w:rPr>
          <w:rFonts w:hint="eastAsia"/>
        </w:rPr>
        <w:t>通则</w:t>
      </w:r>
      <w:r>
        <w:rPr>
          <w:rFonts w:hint="eastAsia"/>
        </w:rPr>
        <w:t xml:space="preserve"> </w:t>
      </w:r>
      <w:r>
        <w:t>4003</w:t>
      </w:r>
      <w:r>
        <w:rPr>
          <w:rFonts w:hint="eastAsia"/>
        </w:rPr>
        <w:t xml:space="preserve">  </w:t>
      </w:r>
      <w:r>
        <w:rPr>
          <w:rFonts w:hint="eastAsia"/>
        </w:rPr>
        <w:t>玻璃内应力测定法</w:t>
      </w:r>
      <w:r>
        <w:rPr>
          <w:rFonts w:hint="eastAsia"/>
        </w:rPr>
        <w:t xml:space="preserve"> </w:t>
      </w:r>
    </w:p>
    <w:p w14:paraId="57BCF70E" w14:textId="77777777" w:rsidR="002C33E2" w:rsidRDefault="00A81E8A">
      <w:pPr>
        <w:spacing w:line="360" w:lineRule="auto"/>
        <w:ind w:firstLineChars="200" w:firstLine="420"/>
      </w:pPr>
      <w:r>
        <w:rPr>
          <w:rFonts w:hint="eastAsia"/>
        </w:rPr>
        <w:t>通则</w:t>
      </w:r>
      <w:r>
        <w:rPr>
          <w:rFonts w:hint="eastAsia"/>
        </w:rPr>
        <w:t xml:space="preserve"> </w:t>
      </w:r>
      <w:r>
        <w:t>4017</w:t>
      </w:r>
      <w:r>
        <w:rPr>
          <w:rFonts w:hint="eastAsia"/>
        </w:rPr>
        <w:t xml:space="preserve">  </w:t>
      </w:r>
      <w:r>
        <w:rPr>
          <w:rFonts w:hint="eastAsia"/>
        </w:rPr>
        <w:t>玻璃容器耐内压力测定法</w:t>
      </w:r>
      <w:r>
        <w:rPr>
          <w:rFonts w:hint="eastAsia"/>
        </w:rPr>
        <w:t xml:space="preserve"> </w:t>
      </w:r>
    </w:p>
    <w:p w14:paraId="075EC408" w14:textId="3E3521B4" w:rsidR="002C33E2" w:rsidRDefault="00A81E8A">
      <w:pPr>
        <w:spacing w:line="360" w:lineRule="auto"/>
        <w:ind w:firstLineChars="200" w:firstLine="420"/>
      </w:pPr>
      <w:r>
        <w:rPr>
          <w:rFonts w:hint="eastAsia"/>
          <w:szCs w:val="22"/>
        </w:rPr>
        <w:t>通则</w:t>
      </w:r>
      <w:r>
        <w:rPr>
          <w:rFonts w:hint="eastAsia"/>
          <w:szCs w:val="22"/>
        </w:rPr>
        <w:t xml:space="preserve"> </w:t>
      </w:r>
      <w:r>
        <w:rPr>
          <w:szCs w:val="22"/>
        </w:rPr>
        <w:t>4019</w:t>
      </w:r>
      <w:r>
        <w:rPr>
          <w:rFonts w:hint="eastAsia"/>
          <w:szCs w:val="22"/>
        </w:rPr>
        <w:t xml:space="preserve">  </w:t>
      </w:r>
      <w:r>
        <w:rPr>
          <w:rFonts w:hint="eastAsia"/>
          <w:szCs w:val="22"/>
        </w:rPr>
        <w:t>玻璃容器热冲击和热冲击强度测定</w:t>
      </w:r>
      <w:r>
        <w:rPr>
          <w:rFonts w:hint="eastAsia"/>
        </w:rPr>
        <w:t>法</w:t>
      </w:r>
    </w:p>
    <w:p w14:paraId="175AD0C2" w14:textId="7EDD744C" w:rsidR="001F17A7" w:rsidRDefault="001F17A7" w:rsidP="00AC57AF">
      <w:pPr>
        <w:tabs>
          <w:tab w:val="right" w:pos="8306"/>
        </w:tabs>
        <w:spacing w:line="360" w:lineRule="auto"/>
        <w:ind w:firstLineChars="200" w:firstLine="420"/>
        <w:rPr>
          <w:szCs w:val="22"/>
        </w:rPr>
      </w:pPr>
      <w:r>
        <w:rPr>
          <w:rFonts w:hint="eastAsia"/>
          <w:szCs w:val="22"/>
        </w:rPr>
        <w:t>通则</w:t>
      </w:r>
      <w:r>
        <w:rPr>
          <w:rFonts w:hint="eastAsia"/>
          <w:szCs w:val="22"/>
        </w:rPr>
        <w:t xml:space="preserve"> </w:t>
      </w:r>
      <w:r>
        <w:rPr>
          <w:szCs w:val="22"/>
        </w:rPr>
        <w:t xml:space="preserve">5100  </w:t>
      </w:r>
      <w:r>
        <w:rPr>
          <w:rFonts w:hint="eastAsia"/>
          <w:szCs w:val="22"/>
        </w:rPr>
        <w:t>药品包装用玻璃容器通则</w:t>
      </w:r>
      <w:r w:rsidR="00AC57AF">
        <w:rPr>
          <w:szCs w:val="22"/>
        </w:rPr>
        <w:tab/>
      </w:r>
    </w:p>
    <w:p w14:paraId="75879BEF" w14:textId="6E9711AE" w:rsidR="0087088E" w:rsidRPr="0087088E" w:rsidRDefault="00EA4C80" w:rsidP="0087088E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指导原则</w:t>
      </w:r>
      <w:r w:rsidR="0087088E">
        <w:rPr>
          <w:rFonts w:ascii="宋体" w:hAnsi="宋体" w:cs="仿宋" w:hint="eastAsia"/>
          <w:szCs w:val="21"/>
        </w:rPr>
        <w:t>9</w:t>
      </w:r>
      <w:r w:rsidR="0087088E">
        <w:rPr>
          <w:rFonts w:ascii="宋体" w:hAnsi="宋体" w:cs="仿宋"/>
          <w:szCs w:val="21"/>
        </w:rPr>
        <w:t xml:space="preserve">652  </w:t>
      </w:r>
      <w:r w:rsidR="0087088E">
        <w:rPr>
          <w:rFonts w:ascii="宋体" w:hAnsi="宋体" w:cs="仿宋" w:hint="eastAsia"/>
          <w:szCs w:val="21"/>
        </w:rPr>
        <w:t>药包材检验规则指导原则</w:t>
      </w:r>
    </w:p>
    <w:bookmarkEnd w:id="0"/>
    <w:p w14:paraId="7D8A1AB3" w14:textId="77777777" w:rsidR="002C33E2" w:rsidRDefault="00A81E8A">
      <w:pPr>
        <w:spacing w:line="360" w:lineRule="auto"/>
        <w:rPr>
          <w:b/>
        </w:rPr>
      </w:pPr>
      <w:r>
        <w:rPr>
          <w:rFonts w:hint="eastAsia"/>
          <w:b/>
        </w:rPr>
        <w:t xml:space="preserve">3 </w:t>
      </w:r>
      <w:r>
        <w:rPr>
          <w:rFonts w:hint="eastAsia"/>
          <w:b/>
        </w:rPr>
        <w:t>分类</w:t>
      </w:r>
    </w:p>
    <w:p w14:paraId="362F350C" w14:textId="23EDBF01" w:rsidR="002C33E2" w:rsidRDefault="00A81E8A">
      <w:pPr>
        <w:spacing w:line="360" w:lineRule="auto"/>
        <w:ind w:firstLineChars="200" w:firstLine="420"/>
        <w:rPr>
          <w:bCs/>
        </w:rPr>
      </w:pPr>
      <w:r>
        <w:rPr>
          <w:rFonts w:hint="eastAsia"/>
        </w:rPr>
        <w:t>玻璃输液瓶可按玻璃材质不同</w:t>
      </w:r>
      <w:r>
        <w:rPr>
          <w:bCs/>
        </w:rPr>
        <w:t>分为</w:t>
      </w:r>
      <w:r>
        <w:rPr>
          <w:rFonts w:hint="eastAsia"/>
          <w:bCs/>
        </w:rPr>
        <w:t>钠钙硅玻璃输液瓶和硼硅玻璃输液瓶两种。</w:t>
      </w:r>
    </w:p>
    <w:p w14:paraId="4C12D61D" w14:textId="77777777" w:rsidR="002C33E2" w:rsidRDefault="00A81E8A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4 </w:t>
      </w:r>
      <w:r>
        <w:rPr>
          <w:rFonts w:hint="eastAsia"/>
          <w:b/>
          <w:bCs/>
        </w:rPr>
        <w:t>要求</w:t>
      </w:r>
    </w:p>
    <w:p w14:paraId="09ACFEB0" w14:textId="5040F99B" w:rsidR="002C33E2" w:rsidRDefault="00AC57AF">
      <w:pPr>
        <w:spacing w:line="360" w:lineRule="auto"/>
        <w:ind w:leftChars="50" w:left="105" w:firstLineChars="200" w:firstLine="420"/>
        <w:rPr>
          <w:rFonts w:ascii="宋体" w:hAnsi="宋体"/>
          <w:bCs/>
          <w:sz w:val="24"/>
          <w:szCs w:val="24"/>
        </w:rPr>
      </w:pPr>
      <w:r>
        <w:rPr>
          <w:rFonts w:hint="eastAsia"/>
          <w:bCs/>
        </w:rPr>
        <w:t>玻璃输液瓶的质量应符合药品包装用玻璃容器通则</w:t>
      </w:r>
      <w:bookmarkStart w:id="1" w:name="_GoBack"/>
      <w:bookmarkEnd w:id="1"/>
      <w:r w:rsidR="00A81E8A">
        <w:rPr>
          <w:rFonts w:hint="eastAsia"/>
          <w:bCs/>
        </w:rPr>
        <w:t>（通则</w:t>
      </w:r>
      <w:r w:rsidR="006A42AD">
        <w:rPr>
          <w:bCs/>
        </w:rPr>
        <w:t>5100</w:t>
      </w:r>
      <w:r w:rsidR="00A81E8A">
        <w:rPr>
          <w:rFonts w:hint="eastAsia"/>
          <w:bCs/>
        </w:rPr>
        <w:t>）的规定，并符合下列要求</w:t>
      </w:r>
      <w:r w:rsidR="00A81E8A">
        <w:rPr>
          <w:bCs/>
        </w:rPr>
        <w:t>。</w:t>
      </w:r>
    </w:p>
    <w:p w14:paraId="4CB36BD8" w14:textId="512A5692" w:rsidR="002C33E2" w:rsidRDefault="00A81E8A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b/>
          <w:szCs w:val="21"/>
        </w:rPr>
        <w:t>4.1</w:t>
      </w:r>
      <w:r>
        <w:rPr>
          <w:rFonts w:hAnsi="宋体"/>
          <w:b/>
          <w:bCs/>
          <w:szCs w:val="21"/>
        </w:rPr>
        <w:t>外观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用于控制玻璃输液瓶的外观质量。在自然光线明亮处，正视目测。外观质量应符合企业标准或质量协议的规定。</w:t>
      </w:r>
    </w:p>
    <w:p w14:paraId="1A3D295E" w14:textId="60480098" w:rsidR="002C33E2" w:rsidRDefault="00A81E8A">
      <w:pPr>
        <w:spacing w:line="360" w:lineRule="auto"/>
        <w:rPr>
          <w:szCs w:val="21"/>
        </w:rPr>
      </w:pPr>
      <w:r>
        <w:rPr>
          <w:rFonts w:hAnsi="宋体"/>
          <w:b/>
          <w:bCs/>
          <w:szCs w:val="21"/>
        </w:rPr>
        <w:t>4.2</w:t>
      </w:r>
      <w:r>
        <w:rPr>
          <w:rFonts w:hAnsi="宋体"/>
          <w:b/>
          <w:bCs/>
          <w:szCs w:val="21"/>
        </w:rPr>
        <w:t>耐热冲击</w:t>
      </w:r>
      <w:r>
        <w:rPr>
          <w:rFonts w:hAnsi="宋体"/>
          <w:b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用于考察玻璃输液瓶的热稳定性，防止使用中由于冷热冲击导致产品破碎。</w:t>
      </w:r>
      <w:r>
        <w:rPr>
          <w:rFonts w:hAnsi="宋体" w:hint="eastAsia"/>
          <w:szCs w:val="21"/>
        </w:rPr>
        <w:t>照玻璃容器热冲击和热冲击强度测定法（通则</w:t>
      </w:r>
      <w:r>
        <w:rPr>
          <w:rFonts w:hAnsi="宋体" w:hint="eastAsia"/>
          <w:szCs w:val="21"/>
        </w:rPr>
        <w:t xml:space="preserve"> </w:t>
      </w:r>
      <w:r>
        <w:rPr>
          <w:rFonts w:hAnsi="宋体"/>
          <w:szCs w:val="21"/>
        </w:rPr>
        <w:t>4019</w:t>
      </w:r>
      <w:r>
        <w:rPr>
          <w:rFonts w:hAnsi="宋体" w:hint="eastAsia"/>
          <w:szCs w:val="21"/>
        </w:rPr>
        <w:t>）测定，钠钙硅玻璃输液瓶经受</w:t>
      </w:r>
      <w:r>
        <w:rPr>
          <w:rFonts w:hAnsi="宋体" w:hint="eastAsia"/>
          <w:szCs w:val="21"/>
        </w:rPr>
        <w:t>42</w:t>
      </w:r>
      <w:r>
        <w:rPr>
          <w:rFonts w:hAnsi="宋体" w:hint="eastAsia"/>
          <w:szCs w:val="21"/>
        </w:rPr>
        <w:t>℃温差的热震试验后不得破裂；硼硅玻璃输液瓶经受</w:t>
      </w:r>
      <w:r>
        <w:rPr>
          <w:rFonts w:hAnsi="宋体" w:hint="eastAsia"/>
          <w:szCs w:val="21"/>
        </w:rPr>
        <w:t>60</w:t>
      </w:r>
      <w:r>
        <w:rPr>
          <w:rFonts w:hAnsi="宋体" w:hint="eastAsia"/>
          <w:szCs w:val="21"/>
        </w:rPr>
        <w:t>℃温差的热震试验后不得破裂。</w:t>
      </w:r>
    </w:p>
    <w:p w14:paraId="3768C434" w14:textId="77777777" w:rsidR="002C33E2" w:rsidRDefault="00A81E8A">
      <w:pPr>
        <w:spacing w:line="360" w:lineRule="auto"/>
        <w:rPr>
          <w:rFonts w:hAnsi="宋体"/>
          <w:szCs w:val="21"/>
        </w:rPr>
      </w:pPr>
      <w:r>
        <w:rPr>
          <w:rFonts w:hAnsi="宋体" w:hint="eastAsia"/>
          <w:b/>
          <w:bCs/>
          <w:szCs w:val="21"/>
        </w:rPr>
        <w:t>4.</w:t>
      </w:r>
      <w:r>
        <w:rPr>
          <w:rFonts w:hAnsi="宋体"/>
          <w:b/>
          <w:bCs/>
          <w:szCs w:val="21"/>
        </w:rPr>
        <w:t>3</w:t>
      </w:r>
      <w:r>
        <w:rPr>
          <w:rFonts w:hAnsi="宋体"/>
          <w:b/>
          <w:bCs/>
          <w:szCs w:val="21"/>
        </w:rPr>
        <w:t>耐内压力</w:t>
      </w:r>
      <w:r>
        <w:rPr>
          <w:rFonts w:hAnsi="宋体"/>
          <w:b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用于考察玻璃输液瓶的耐内压力性能，防止输液瓶在生产和使用过程中因内部压力的升高导致破碎。</w:t>
      </w:r>
      <w:r>
        <w:rPr>
          <w:rFonts w:hAnsi="宋体"/>
          <w:szCs w:val="21"/>
        </w:rPr>
        <w:t>照</w:t>
      </w:r>
      <w:r>
        <w:rPr>
          <w:rFonts w:hAnsi="宋体" w:hint="eastAsia"/>
          <w:szCs w:val="21"/>
        </w:rPr>
        <w:t>玻璃容器</w:t>
      </w:r>
      <w:r>
        <w:rPr>
          <w:rFonts w:hAnsi="宋体"/>
          <w:szCs w:val="21"/>
        </w:rPr>
        <w:t>耐内压力测定法</w:t>
      </w:r>
      <w:r>
        <w:rPr>
          <w:rFonts w:hAnsi="宋体" w:hint="eastAsia"/>
          <w:szCs w:val="21"/>
        </w:rPr>
        <w:t>（通则</w:t>
      </w:r>
      <w:r>
        <w:rPr>
          <w:rFonts w:hAnsi="宋体"/>
          <w:szCs w:val="21"/>
        </w:rPr>
        <w:t>40</w:t>
      </w:r>
      <w:r>
        <w:rPr>
          <w:rFonts w:hAnsi="宋体" w:hint="eastAsia"/>
          <w:szCs w:val="21"/>
        </w:rPr>
        <w:t>17</w:t>
      </w:r>
      <w:r>
        <w:rPr>
          <w:rFonts w:hAnsi="宋体" w:hint="eastAsia"/>
          <w:szCs w:val="21"/>
        </w:rPr>
        <w:t>）</w:t>
      </w:r>
      <w:r>
        <w:rPr>
          <w:rFonts w:hAnsi="宋体"/>
          <w:szCs w:val="21"/>
        </w:rPr>
        <w:t>测定，经受</w:t>
      </w:r>
      <w:r>
        <w:rPr>
          <w:szCs w:val="21"/>
        </w:rPr>
        <w:t>0.6MPa</w:t>
      </w:r>
      <w:r>
        <w:rPr>
          <w:rFonts w:hAnsi="宋体"/>
          <w:szCs w:val="21"/>
        </w:rPr>
        <w:t>的内压力试验后不得破裂。</w:t>
      </w:r>
    </w:p>
    <w:p w14:paraId="493BDC8D" w14:textId="77777777" w:rsidR="002C33E2" w:rsidRDefault="00A81E8A">
      <w:pPr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4.</w:t>
      </w:r>
      <w:r>
        <w:rPr>
          <w:rFonts w:ascii="宋体" w:hAnsi="宋体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内应力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用于控制玻璃输液瓶退火后残余的内应力，减少内应力对产品机械强度的影响。</w:t>
      </w:r>
      <w:r>
        <w:rPr>
          <w:rFonts w:ascii="宋体" w:hAnsi="宋体"/>
          <w:szCs w:val="21"/>
        </w:rPr>
        <w:t>照</w:t>
      </w:r>
      <w:r>
        <w:rPr>
          <w:rFonts w:ascii="宋体" w:hAnsi="宋体" w:hint="eastAsia"/>
          <w:szCs w:val="21"/>
        </w:rPr>
        <w:t>玻璃</w:t>
      </w:r>
      <w:r>
        <w:rPr>
          <w:rFonts w:ascii="宋体" w:hAnsi="宋体"/>
          <w:szCs w:val="21"/>
        </w:rPr>
        <w:t>内应力测定法 （通则</w:t>
      </w:r>
      <w:r>
        <w:rPr>
          <w:rFonts w:hAnsi="宋体"/>
          <w:color w:val="000000"/>
          <w:szCs w:val="21"/>
        </w:rPr>
        <w:t>4003</w:t>
      </w:r>
      <w:r>
        <w:rPr>
          <w:rFonts w:ascii="宋体" w:hAnsi="宋体"/>
          <w:szCs w:val="21"/>
        </w:rPr>
        <w:t>）测定，退火后的最大永久应力造成的光程差不得过40nm/mm。</w:t>
      </w:r>
    </w:p>
    <w:sectPr w:rsidR="002C33E2" w:rsidSect="00AC57A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D80D1" w14:textId="77777777" w:rsidR="004B042E" w:rsidRDefault="004B042E" w:rsidP="00007D4E">
      <w:r>
        <w:separator/>
      </w:r>
    </w:p>
  </w:endnote>
  <w:endnote w:type="continuationSeparator" w:id="0">
    <w:p w14:paraId="05D185CB" w14:textId="77777777" w:rsidR="004B042E" w:rsidRDefault="004B042E" w:rsidP="0000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17855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F34689" w14:textId="7E081A58" w:rsidR="00AC57AF" w:rsidRDefault="00AC57AF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DE3F3B" w14:textId="77777777" w:rsidR="00AC57AF" w:rsidRDefault="00AC57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8E66B" w14:textId="77777777" w:rsidR="004B042E" w:rsidRDefault="004B042E" w:rsidP="00007D4E">
      <w:r>
        <w:separator/>
      </w:r>
    </w:p>
  </w:footnote>
  <w:footnote w:type="continuationSeparator" w:id="0">
    <w:p w14:paraId="53BFAC0F" w14:textId="77777777" w:rsidR="004B042E" w:rsidRDefault="004B042E" w:rsidP="00007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5FCCE" w14:textId="30FF10A0" w:rsidR="00AC57AF" w:rsidRDefault="00AC57AF">
    <w:pPr>
      <w:pStyle w:val="a9"/>
    </w:pPr>
    <w:r>
      <w:rPr>
        <w:noProof/>
      </w:rPr>
      <w:pict w14:anchorId="473E02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69606" o:spid="_x0000_s2050" type="#_x0000_t136" style="position:absolute;left:0;text-align:left;margin-left:0;margin-top:0;width:487.9pt;height:9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D3CA9" w14:textId="51DABD47" w:rsidR="00AC57AF" w:rsidRDefault="00AC57AF">
    <w:pPr>
      <w:pStyle w:val="a9"/>
      <w:rPr>
        <w:rFonts w:hint="eastAsia"/>
      </w:rPr>
    </w:pPr>
    <w:r>
      <w:rPr>
        <w:noProof/>
      </w:rPr>
      <w:pict w14:anchorId="04CCA2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69607" o:spid="_x0000_s2051" type="#_x0000_t136" style="position:absolute;left:0;text-align:left;margin-left:0;margin-top:0;width:487.9pt;height:9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  <w:r>
      <w:rPr>
        <w:rFonts w:hint="eastAsia"/>
      </w:rPr>
      <w:t>2</w:t>
    </w:r>
    <w:r>
      <w:t>0222</w:t>
    </w:r>
    <w:r>
      <w:rPr>
        <w:rFonts w:hint="eastAsia"/>
      </w:rPr>
      <w:t>年6月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20957" w14:textId="72C16B4F" w:rsidR="00AC57AF" w:rsidRDefault="00AC57AF">
    <w:pPr>
      <w:pStyle w:val="a9"/>
    </w:pPr>
    <w:r>
      <w:rPr>
        <w:noProof/>
      </w:rPr>
      <w:pict w14:anchorId="5F3E43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69605" o:spid="_x0000_s2049" type="#_x0000_t136" style="position:absolute;left:0;text-align:left;margin-left:0;margin-top:0;width:487.9pt;height:9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5NmVhNjA0MDU3MTIxMzJjYTE0ZTI5MmEwNDlkYzEifQ=="/>
  </w:docVars>
  <w:rsids>
    <w:rsidRoot w:val="001F7152"/>
    <w:rsid w:val="00005911"/>
    <w:rsid w:val="00007D4E"/>
    <w:rsid w:val="00014614"/>
    <w:rsid w:val="00021602"/>
    <w:rsid w:val="0002645E"/>
    <w:rsid w:val="00046C9D"/>
    <w:rsid w:val="000734C6"/>
    <w:rsid w:val="00075307"/>
    <w:rsid w:val="0008002E"/>
    <w:rsid w:val="0008306C"/>
    <w:rsid w:val="000954C9"/>
    <w:rsid w:val="00097810"/>
    <w:rsid w:val="000A4ADA"/>
    <w:rsid w:val="000A6659"/>
    <w:rsid w:val="000C6065"/>
    <w:rsid w:val="000E7011"/>
    <w:rsid w:val="000F7BAF"/>
    <w:rsid w:val="00137848"/>
    <w:rsid w:val="00143C5A"/>
    <w:rsid w:val="001A45BC"/>
    <w:rsid w:val="001B17BD"/>
    <w:rsid w:val="001C75BA"/>
    <w:rsid w:val="001E3E75"/>
    <w:rsid w:val="001F17A7"/>
    <w:rsid w:val="001F7152"/>
    <w:rsid w:val="00200542"/>
    <w:rsid w:val="002265CA"/>
    <w:rsid w:val="00226889"/>
    <w:rsid w:val="0023449C"/>
    <w:rsid w:val="00252B48"/>
    <w:rsid w:val="00253027"/>
    <w:rsid w:val="00267AEA"/>
    <w:rsid w:val="00295310"/>
    <w:rsid w:val="002A0464"/>
    <w:rsid w:val="002B5613"/>
    <w:rsid w:val="002C113A"/>
    <w:rsid w:val="002C33E2"/>
    <w:rsid w:val="002C4CD0"/>
    <w:rsid w:val="002E1381"/>
    <w:rsid w:val="002E2B0E"/>
    <w:rsid w:val="003020BC"/>
    <w:rsid w:val="00311A6E"/>
    <w:rsid w:val="00317FE3"/>
    <w:rsid w:val="00341E4D"/>
    <w:rsid w:val="0039414E"/>
    <w:rsid w:val="003A137F"/>
    <w:rsid w:val="003A3125"/>
    <w:rsid w:val="003A4634"/>
    <w:rsid w:val="003C21DC"/>
    <w:rsid w:val="003D5F05"/>
    <w:rsid w:val="003E2E00"/>
    <w:rsid w:val="003F439E"/>
    <w:rsid w:val="00407CA5"/>
    <w:rsid w:val="00427560"/>
    <w:rsid w:val="00435C82"/>
    <w:rsid w:val="00441230"/>
    <w:rsid w:val="004654B9"/>
    <w:rsid w:val="00466BFF"/>
    <w:rsid w:val="00477F77"/>
    <w:rsid w:val="0049254F"/>
    <w:rsid w:val="00494780"/>
    <w:rsid w:val="00494FC6"/>
    <w:rsid w:val="004A2053"/>
    <w:rsid w:val="004B042E"/>
    <w:rsid w:val="004B6AF5"/>
    <w:rsid w:val="004E7A42"/>
    <w:rsid w:val="004F2591"/>
    <w:rsid w:val="00524A9E"/>
    <w:rsid w:val="00525186"/>
    <w:rsid w:val="005277FE"/>
    <w:rsid w:val="005305D8"/>
    <w:rsid w:val="00545CA8"/>
    <w:rsid w:val="0054674D"/>
    <w:rsid w:val="005554BC"/>
    <w:rsid w:val="005654CD"/>
    <w:rsid w:val="005662B8"/>
    <w:rsid w:val="00580AA3"/>
    <w:rsid w:val="005B0EA5"/>
    <w:rsid w:val="005B17A9"/>
    <w:rsid w:val="005D64D7"/>
    <w:rsid w:val="006067F9"/>
    <w:rsid w:val="0061423D"/>
    <w:rsid w:val="00626679"/>
    <w:rsid w:val="00627DD2"/>
    <w:rsid w:val="006364D0"/>
    <w:rsid w:val="006A2C64"/>
    <w:rsid w:val="006A42AD"/>
    <w:rsid w:val="006B6D2C"/>
    <w:rsid w:val="006B7507"/>
    <w:rsid w:val="006D0D3D"/>
    <w:rsid w:val="006D6347"/>
    <w:rsid w:val="006E434A"/>
    <w:rsid w:val="00702B3B"/>
    <w:rsid w:val="00707387"/>
    <w:rsid w:val="00710134"/>
    <w:rsid w:val="007115FE"/>
    <w:rsid w:val="0072162A"/>
    <w:rsid w:val="00723EEA"/>
    <w:rsid w:val="007246A4"/>
    <w:rsid w:val="00730240"/>
    <w:rsid w:val="007643AA"/>
    <w:rsid w:val="00766225"/>
    <w:rsid w:val="00777F03"/>
    <w:rsid w:val="00780163"/>
    <w:rsid w:val="0078086A"/>
    <w:rsid w:val="00786F9E"/>
    <w:rsid w:val="00791141"/>
    <w:rsid w:val="0079779F"/>
    <w:rsid w:val="007C75D1"/>
    <w:rsid w:val="007F253A"/>
    <w:rsid w:val="007F3D70"/>
    <w:rsid w:val="00813A75"/>
    <w:rsid w:val="008400D3"/>
    <w:rsid w:val="00845529"/>
    <w:rsid w:val="00845E4E"/>
    <w:rsid w:val="00856236"/>
    <w:rsid w:val="0087088E"/>
    <w:rsid w:val="00874906"/>
    <w:rsid w:val="00875BEB"/>
    <w:rsid w:val="00895EFF"/>
    <w:rsid w:val="008A41C2"/>
    <w:rsid w:val="008A7365"/>
    <w:rsid w:val="008B3400"/>
    <w:rsid w:val="008C3F27"/>
    <w:rsid w:val="008C5505"/>
    <w:rsid w:val="008C685A"/>
    <w:rsid w:val="008E247D"/>
    <w:rsid w:val="008E5CFF"/>
    <w:rsid w:val="00904AAC"/>
    <w:rsid w:val="0093567E"/>
    <w:rsid w:val="00935721"/>
    <w:rsid w:val="00936E6B"/>
    <w:rsid w:val="00943201"/>
    <w:rsid w:val="0094438E"/>
    <w:rsid w:val="0095085F"/>
    <w:rsid w:val="00960170"/>
    <w:rsid w:val="00992DAA"/>
    <w:rsid w:val="0099644E"/>
    <w:rsid w:val="009D1EA8"/>
    <w:rsid w:val="00A0175D"/>
    <w:rsid w:val="00A075A3"/>
    <w:rsid w:val="00A241D8"/>
    <w:rsid w:val="00A25866"/>
    <w:rsid w:val="00A264D1"/>
    <w:rsid w:val="00A3047F"/>
    <w:rsid w:val="00A40BE5"/>
    <w:rsid w:val="00A64536"/>
    <w:rsid w:val="00A65251"/>
    <w:rsid w:val="00A65A01"/>
    <w:rsid w:val="00A75225"/>
    <w:rsid w:val="00A76711"/>
    <w:rsid w:val="00A81E8A"/>
    <w:rsid w:val="00A84E30"/>
    <w:rsid w:val="00AA36BE"/>
    <w:rsid w:val="00AA5152"/>
    <w:rsid w:val="00AB4B40"/>
    <w:rsid w:val="00AC245C"/>
    <w:rsid w:val="00AC25A9"/>
    <w:rsid w:val="00AC57AF"/>
    <w:rsid w:val="00AD702A"/>
    <w:rsid w:val="00B1252B"/>
    <w:rsid w:val="00B2191D"/>
    <w:rsid w:val="00B21E6D"/>
    <w:rsid w:val="00B3296F"/>
    <w:rsid w:val="00B40ECE"/>
    <w:rsid w:val="00B721DB"/>
    <w:rsid w:val="00B72CBE"/>
    <w:rsid w:val="00B81A21"/>
    <w:rsid w:val="00B94613"/>
    <w:rsid w:val="00BA15E1"/>
    <w:rsid w:val="00BA4789"/>
    <w:rsid w:val="00BB6D5B"/>
    <w:rsid w:val="00BD5FAF"/>
    <w:rsid w:val="00C40511"/>
    <w:rsid w:val="00C52FD4"/>
    <w:rsid w:val="00C57004"/>
    <w:rsid w:val="00C72D83"/>
    <w:rsid w:val="00C72EF9"/>
    <w:rsid w:val="00C772E8"/>
    <w:rsid w:val="00C90E54"/>
    <w:rsid w:val="00CA2FA3"/>
    <w:rsid w:val="00CC5BCB"/>
    <w:rsid w:val="00CC68E7"/>
    <w:rsid w:val="00CD74DD"/>
    <w:rsid w:val="00CE1095"/>
    <w:rsid w:val="00CF2F9B"/>
    <w:rsid w:val="00CF3E03"/>
    <w:rsid w:val="00D06FD4"/>
    <w:rsid w:val="00D17F7F"/>
    <w:rsid w:val="00D20BC4"/>
    <w:rsid w:val="00D4004A"/>
    <w:rsid w:val="00D41F8A"/>
    <w:rsid w:val="00D42B54"/>
    <w:rsid w:val="00D61871"/>
    <w:rsid w:val="00D86553"/>
    <w:rsid w:val="00DB455E"/>
    <w:rsid w:val="00DC4DE3"/>
    <w:rsid w:val="00DE5ECF"/>
    <w:rsid w:val="00E134C9"/>
    <w:rsid w:val="00E1483D"/>
    <w:rsid w:val="00E2116B"/>
    <w:rsid w:val="00E21CF4"/>
    <w:rsid w:val="00E23BA7"/>
    <w:rsid w:val="00E2741D"/>
    <w:rsid w:val="00E829F1"/>
    <w:rsid w:val="00E92F6C"/>
    <w:rsid w:val="00EA4C80"/>
    <w:rsid w:val="00EE19BD"/>
    <w:rsid w:val="00EE38AF"/>
    <w:rsid w:val="00F40ABF"/>
    <w:rsid w:val="00F43FB7"/>
    <w:rsid w:val="00F471DB"/>
    <w:rsid w:val="00F82B2A"/>
    <w:rsid w:val="00F934D9"/>
    <w:rsid w:val="00FA7A22"/>
    <w:rsid w:val="00FE36A2"/>
    <w:rsid w:val="08C4003E"/>
    <w:rsid w:val="0D6C1F44"/>
    <w:rsid w:val="1C4D7179"/>
    <w:rsid w:val="1E8960E7"/>
    <w:rsid w:val="39E91F8F"/>
    <w:rsid w:val="3DBD4D0E"/>
    <w:rsid w:val="4018481A"/>
    <w:rsid w:val="4EBD628F"/>
    <w:rsid w:val="50D42C09"/>
    <w:rsid w:val="62532ECA"/>
    <w:rsid w:val="699B6EB3"/>
    <w:rsid w:val="6C164BE1"/>
    <w:rsid w:val="7255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259635E"/>
  <w15:docId w15:val="{7149CE4A-EFCF-489F-A4C1-D850495E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qFormat/>
    <w:rPr>
      <w:sz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table" w:customStyle="1" w:styleId="1">
    <w:name w:val="网格型1"/>
    <w:basedOn w:val="a1"/>
    <w:qFormat/>
    <w:rPr>
      <w:sz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rPr>
      <w:kern w:val="2"/>
      <w:sz w:val="21"/>
    </w:rPr>
  </w:style>
  <w:style w:type="paragraph" w:styleId="af">
    <w:name w:val="Revision"/>
    <w:hidden/>
    <w:uiPriority w:val="99"/>
    <w:semiHidden/>
    <w:rsid w:val="00A81E8A"/>
    <w:rPr>
      <w:kern w:val="2"/>
      <w:sz w:val="21"/>
    </w:rPr>
  </w:style>
  <w:style w:type="character" w:styleId="af0">
    <w:name w:val="line number"/>
    <w:basedOn w:val="a0"/>
    <w:uiPriority w:val="99"/>
    <w:semiHidden/>
    <w:unhideWhenUsed/>
    <w:rsid w:val="00AC5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D6C6B-34C1-498D-84FC-7AEDF845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考虑点</dc:creator>
  <cp:lastModifiedBy>陈蕾</cp:lastModifiedBy>
  <cp:revision>29</cp:revision>
  <cp:lastPrinted>2022-06-06T03:55:00Z</cp:lastPrinted>
  <dcterms:created xsi:type="dcterms:W3CDTF">2022-06-06T09:47:00Z</dcterms:created>
  <dcterms:modified xsi:type="dcterms:W3CDTF">2022-06-24T11:17:00Z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3C3C718C77AF477FACE89A75333E4BC5</vt:lpwstr>
  </property>
</Properties>
</file>