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5C94" w14:textId="41B92EC8" w:rsidR="00280CC4" w:rsidRPr="00863864" w:rsidRDefault="00487C27" w:rsidP="00863864">
      <w:pPr>
        <w:adjustRightInd w:val="0"/>
        <w:snapToGrid w:val="0"/>
        <w:spacing w:beforeLines="50" w:before="156" w:line="360" w:lineRule="auto"/>
        <w:jc w:val="center"/>
        <w:rPr>
          <w:b/>
          <w:sz w:val="24"/>
          <w:szCs w:val="24"/>
        </w:rPr>
      </w:pPr>
      <w:r w:rsidRPr="00863864">
        <w:rPr>
          <w:b/>
          <w:sz w:val="24"/>
          <w:szCs w:val="24"/>
        </w:rPr>
        <w:t>5105 General Chapter on Glass Components for Pen-injector</w:t>
      </w:r>
    </w:p>
    <w:p w14:paraId="2A387840" w14:textId="77777777" w:rsidR="00280CC4" w:rsidRPr="003E7557" w:rsidRDefault="00280CC4" w:rsidP="00863864">
      <w:pPr>
        <w:adjustRightInd w:val="0"/>
        <w:snapToGrid w:val="0"/>
        <w:spacing w:beforeLines="50" w:before="156" w:line="360" w:lineRule="auto"/>
        <w:jc w:val="center"/>
      </w:pPr>
    </w:p>
    <w:p w14:paraId="263365CC" w14:textId="77777777" w:rsidR="00280CC4" w:rsidRPr="00863864" w:rsidRDefault="00487C27" w:rsidP="00863864">
      <w:pPr>
        <w:adjustRightInd w:val="0"/>
        <w:snapToGrid w:val="0"/>
        <w:spacing w:beforeLines="50" w:before="156" w:line="360" w:lineRule="auto"/>
        <w:rPr>
          <w:b/>
          <w:szCs w:val="21"/>
        </w:rPr>
      </w:pPr>
      <w:r w:rsidRPr="00863864">
        <w:rPr>
          <w:b/>
          <w:szCs w:val="21"/>
        </w:rPr>
        <w:t>1 Scope</w:t>
      </w:r>
    </w:p>
    <w:p w14:paraId="5FA303B3" w14:textId="33A2741D" w:rsidR="00280CC4" w:rsidRPr="00863864" w:rsidRDefault="00487C27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863864">
        <w:rPr>
          <w:szCs w:val="21"/>
        </w:rPr>
        <w:t xml:space="preserve">This </w:t>
      </w:r>
      <w:r w:rsidR="002E489F" w:rsidRPr="003E7557">
        <w:rPr>
          <w:szCs w:val="21"/>
        </w:rPr>
        <w:t>g</w:t>
      </w:r>
      <w:r w:rsidRPr="00863864">
        <w:rPr>
          <w:szCs w:val="21"/>
        </w:rPr>
        <w:t xml:space="preserve">eneral </w:t>
      </w:r>
      <w:r w:rsidR="002E489F" w:rsidRPr="003E7557">
        <w:rPr>
          <w:szCs w:val="21"/>
        </w:rPr>
        <w:t>c</w:t>
      </w:r>
      <w:r w:rsidRPr="00863864">
        <w:rPr>
          <w:szCs w:val="21"/>
        </w:rPr>
        <w:t>hapter specifies the classification and requirements for glass components for pen-injector.</w:t>
      </w:r>
    </w:p>
    <w:p w14:paraId="289B383B" w14:textId="00DE163F" w:rsidR="00DF6B61" w:rsidRPr="00863864" w:rsidRDefault="00487C27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863864">
        <w:rPr>
          <w:szCs w:val="21"/>
        </w:rPr>
        <w:t xml:space="preserve">This </w:t>
      </w:r>
      <w:r w:rsidR="002E489F" w:rsidRPr="003E7557">
        <w:rPr>
          <w:szCs w:val="21"/>
        </w:rPr>
        <w:t>g</w:t>
      </w:r>
      <w:r w:rsidRPr="00863864">
        <w:rPr>
          <w:szCs w:val="21"/>
        </w:rPr>
        <w:t xml:space="preserve">eneral </w:t>
      </w:r>
      <w:r w:rsidR="002E489F" w:rsidRPr="003E7557">
        <w:rPr>
          <w:szCs w:val="21"/>
        </w:rPr>
        <w:t>c</w:t>
      </w:r>
      <w:r w:rsidRPr="00863864">
        <w:rPr>
          <w:szCs w:val="21"/>
        </w:rPr>
        <w:t>hapter is applicable to glass components for pen-injector containing injections.</w:t>
      </w:r>
    </w:p>
    <w:p w14:paraId="4FC0663E" w14:textId="2D287245" w:rsidR="00280CC4" w:rsidRPr="003E7557" w:rsidRDefault="00013919" w:rsidP="00863864">
      <w:pPr>
        <w:adjustRightInd w:val="0"/>
        <w:snapToGrid w:val="0"/>
        <w:spacing w:beforeLines="50" w:before="156" w:line="360" w:lineRule="auto"/>
        <w:rPr>
          <w:b/>
          <w:bCs/>
        </w:rPr>
      </w:pPr>
      <w:r w:rsidRPr="003E7557">
        <w:rPr>
          <w:b/>
        </w:rPr>
        <w:t>2 Classification</w:t>
      </w:r>
    </w:p>
    <w:p w14:paraId="20B615EC" w14:textId="27910D0B" w:rsidR="00DF6B61" w:rsidRPr="003E7557" w:rsidRDefault="001A77C9" w:rsidP="00863864">
      <w:pPr>
        <w:adjustRightInd w:val="0"/>
        <w:snapToGrid w:val="0"/>
        <w:spacing w:beforeLines="50" w:before="156" w:line="360" w:lineRule="auto"/>
        <w:jc w:val="left"/>
        <w:rPr>
          <w:szCs w:val="22"/>
        </w:rPr>
      </w:pPr>
      <w:r w:rsidRPr="003E7557">
        <w:rPr>
          <w:szCs w:val="22"/>
        </w:rPr>
        <w:t xml:space="preserve">Glass </w:t>
      </w:r>
      <w:r w:rsidR="001F0002">
        <w:rPr>
          <w:szCs w:val="22"/>
        </w:rPr>
        <w:t>c</w:t>
      </w:r>
      <w:r w:rsidRPr="003E7557">
        <w:rPr>
          <w:szCs w:val="22"/>
        </w:rPr>
        <w:t xml:space="preserve">omponents for </w:t>
      </w:r>
      <w:r w:rsidR="001F0002">
        <w:rPr>
          <w:szCs w:val="22"/>
        </w:rPr>
        <w:t>p</w:t>
      </w:r>
      <w:r w:rsidRPr="003E7557">
        <w:rPr>
          <w:szCs w:val="22"/>
        </w:rPr>
        <w:t xml:space="preserve">en-injector </w:t>
      </w:r>
      <w:r w:rsidR="00B14B9C" w:rsidRPr="003E7557">
        <w:rPr>
          <w:szCs w:val="22"/>
        </w:rPr>
        <w:t>are</w:t>
      </w:r>
      <w:r w:rsidR="003330C8" w:rsidRPr="003E7557">
        <w:rPr>
          <w:szCs w:val="22"/>
        </w:rPr>
        <w:t xml:space="preserve"> </w:t>
      </w:r>
      <w:r w:rsidR="003330C8" w:rsidRPr="003E7557">
        <w:rPr>
          <w:rFonts w:hint="eastAsia"/>
          <w:szCs w:val="22"/>
        </w:rPr>
        <w:t>normally</w:t>
      </w:r>
      <w:r w:rsidR="00B14B9C" w:rsidRPr="003E7557">
        <w:rPr>
          <w:szCs w:val="22"/>
        </w:rPr>
        <w:t xml:space="preserve"> made of borosilicate glass, and</w:t>
      </w:r>
      <w:r w:rsidR="002E489F" w:rsidRPr="003E7557">
        <w:rPr>
          <w:szCs w:val="22"/>
        </w:rPr>
        <w:t xml:space="preserve"> </w:t>
      </w:r>
      <w:r w:rsidR="00B14B9C" w:rsidRPr="003E7557">
        <w:rPr>
          <w:szCs w:val="22"/>
        </w:rPr>
        <w:t>can be classified</w:t>
      </w:r>
      <w:r w:rsidR="002E489F" w:rsidRPr="003E7557">
        <w:rPr>
          <w:szCs w:val="22"/>
        </w:rPr>
        <w:t xml:space="preserve"> as</w:t>
      </w:r>
      <w:r w:rsidR="00B14B9C" w:rsidRPr="003E7557">
        <w:rPr>
          <w:szCs w:val="22"/>
        </w:rPr>
        <w:t xml:space="preserve"> glass barrels and glass beads.</w:t>
      </w:r>
    </w:p>
    <w:p w14:paraId="4E22CF45" w14:textId="39B3C516" w:rsidR="00280CC4" w:rsidRPr="003E7557" w:rsidRDefault="00013919" w:rsidP="00863864">
      <w:pPr>
        <w:adjustRightInd w:val="0"/>
        <w:snapToGrid w:val="0"/>
        <w:spacing w:beforeLines="50" w:before="156" w:line="360" w:lineRule="auto"/>
        <w:rPr>
          <w:b/>
          <w:bCs/>
        </w:rPr>
      </w:pPr>
      <w:r w:rsidRPr="003E7557">
        <w:rPr>
          <w:b/>
          <w:bCs/>
        </w:rPr>
        <w:t>3 Requirements</w:t>
      </w:r>
    </w:p>
    <w:p w14:paraId="4B670314" w14:textId="1DF25B8F" w:rsidR="00DF6B61" w:rsidRPr="00863864" w:rsidRDefault="00487C27" w:rsidP="00863864">
      <w:pPr>
        <w:adjustRightInd w:val="0"/>
        <w:snapToGrid w:val="0"/>
        <w:spacing w:beforeLines="50" w:before="156" w:line="360" w:lineRule="auto"/>
        <w:jc w:val="left"/>
        <w:rPr>
          <w:szCs w:val="22"/>
        </w:rPr>
      </w:pPr>
      <w:r w:rsidRPr="00863864">
        <w:rPr>
          <w:szCs w:val="22"/>
        </w:rPr>
        <w:t>The quality of glass components for pen-injector shall comply with General Chapter on Glass Containers for Pharmaceutical Packaging (General Chapter 5100</w:t>
      </w:r>
      <w:r w:rsidR="00E32AFC" w:rsidRPr="00863864">
        <w:rPr>
          <w:szCs w:val="22"/>
        </w:rPr>
        <w:t>) and</w:t>
      </w:r>
      <w:r w:rsidRPr="00863864">
        <w:rPr>
          <w:szCs w:val="22"/>
        </w:rPr>
        <w:t xml:space="preserve"> meet the following </w:t>
      </w:r>
      <w:r w:rsidR="002E489F" w:rsidRPr="003E7557">
        <w:rPr>
          <w:szCs w:val="22"/>
        </w:rPr>
        <w:t>requirements</w:t>
      </w:r>
      <w:r w:rsidRPr="00863864">
        <w:rPr>
          <w:szCs w:val="22"/>
        </w:rPr>
        <w:t>.</w:t>
      </w:r>
    </w:p>
    <w:p w14:paraId="2ED6B46F" w14:textId="2AE216FE" w:rsidR="002E489F" w:rsidRPr="003E7557" w:rsidRDefault="00013919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3E7557">
        <w:rPr>
          <w:b/>
          <w:bCs/>
          <w:szCs w:val="21"/>
        </w:rPr>
        <w:t>3.1</w:t>
      </w:r>
      <w:r w:rsidRPr="003E7557">
        <w:rPr>
          <w:b/>
          <w:bCs/>
          <w:szCs w:val="21"/>
        </w:rPr>
        <w:tab/>
      </w:r>
      <w:r w:rsidR="00487C27" w:rsidRPr="00863864">
        <w:rPr>
          <w:b/>
          <w:bCs/>
          <w:szCs w:val="21"/>
        </w:rPr>
        <w:t>Appearance</w:t>
      </w:r>
      <w:r w:rsidR="00487C27" w:rsidRPr="00863864">
        <w:rPr>
          <w:szCs w:val="21"/>
        </w:rPr>
        <w:t xml:space="preserve"> </w:t>
      </w:r>
    </w:p>
    <w:p w14:paraId="3ECEF792" w14:textId="7CD360EA" w:rsidR="00DF6B61" w:rsidRPr="00863864" w:rsidRDefault="00487C27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863864">
        <w:rPr>
          <w:szCs w:val="21"/>
        </w:rPr>
        <w:t>It is used to control the appearance quality of glass components for pen-injector. Take appropriate amount of glass barrel or glass beads, carry out visual examination by observing under natural light. The appearance quality shall conform to the enterprise specification or quality agreement.</w:t>
      </w:r>
    </w:p>
    <w:p w14:paraId="5E394527" w14:textId="3EC8DE83" w:rsidR="002E489F" w:rsidRPr="003E7557" w:rsidRDefault="00013919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863864">
        <w:rPr>
          <w:b/>
          <w:szCs w:val="21"/>
        </w:rPr>
        <w:t>3.2</w:t>
      </w:r>
      <w:r w:rsidRPr="00863864">
        <w:rPr>
          <w:b/>
          <w:szCs w:val="21"/>
        </w:rPr>
        <w:tab/>
        <w:t>Internal s</w:t>
      </w:r>
      <w:r w:rsidRPr="00863864">
        <w:rPr>
          <w:b/>
          <w:bCs/>
          <w:szCs w:val="21"/>
        </w:rPr>
        <w:t>tress (</w:t>
      </w:r>
      <w:r w:rsidRPr="003E7557">
        <w:rPr>
          <w:b/>
          <w:bCs/>
          <w:szCs w:val="21"/>
        </w:rPr>
        <w:t>applicable to</w:t>
      </w:r>
      <w:r w:rsidRPr="00863864">
        <w:rPr>
          <w:b/>
          <w:bCs/>
          <w:szCs w:val="21"/>
        </w:rPr>
        <w:t xml:space="preserve"> glass barrel)</w:t>
      </w:r>
      <w:r w:rsidRPr="00863864">
        <w:rPr>
          <w:szCs w:val="21"/>
        </w:rPr>
        <w:t xml:space="preserve"> </w:t>
      </w:r>
    </w:p>
    <w:p w14:paraId="3A873995" w14:textId="35A30986" w:rsidR="00280CC4" w:rsidRPr="00863864" w:rsidRDefault="00487C27" w:rsidP="00863864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863864">
        <w:rPr>
          <w:szCs w:val="21"/>
        </w:rPr>
        <w:t>It is used to control the residual internal stress of glass barrels after annealing and reduce the influence of internal stress on the mechanical strength of the products.</w:t>
      </w:r>
      <w:r w:rsidR="00E32AFC" w:rsidRPr="00863864">
        <w:rPr>
          <w:szCs w:val="21"/>
        </w:rPr>
        <w:t xml:space="preserve"> </w:t>
      </w:r>
      <w:r w:rsidRPr="00863864">
        <w:rPr>
          <w:szCs w:val="21"/>
        </w:rPr>
        <w:t xml:space="preserve">According to the </w:t>
      </w:r>
      <w:r w:rsidR="00C041DE" w:rsidRPr="003E7557">
        <w:rPr>
          <w:szCs w:val="21"/>
        </w:rPr>
        <w:t>Determination of Internal Stress for Glass Containers</w:t>
      </w:r>
      <w:r w:rsidRPr="00863864">
        <w:rPr>
          <w:szCs w:val="21"/>
        </w:rPr>
        <w:t xml:space="preserve"> (General Chapter 4003), the optical path difference caused by the maximum permanent stress after annealing shall not exceed 40 nm/mm.</w:t>
      </w:r>
    </w:p>
    <w:p w14:paraId="7E024B9E" w14:textId="77777777" w:rsidR="00280CC4" w:rsidRPr="00863864" w:rsidRDefault="00280CC4">
      <w:pPr>
        <w:contextualSpacing/>
        <w:rPr>
          <w:szCs w:val="21"/>
        </w:rPr>
      </w:pPr>
    </w:p>
    <w:p w14:paraId="391BF225" w14:textId="77777777" w:rsidR="00280CC4" w:rsidRPr="003E7557" w:rsidRDefault="00487C27">
      <w:pPr>
        <w:suppressLineNumbers/>
        <w:adjustRightInd w:val="0"/>
        <w:contextualSpacing/>
        <w:rPr>
          <w:kern w:val="0"/>
          <w:sz w:val="24"/>
          <w:szCs w:val="24"/>
        </w:rPr>
      </w:pPr>
      <w:r w:rsidRPr="003E7557">
        <w:rPr>
          <w:rFonts w:ascii="宋体" w:hAnsi="Courier New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C381" wp14:editId="3A5D0E52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82E3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85pt" to="402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fZqwEAAGADAAAOAAAAZHJzL2Uyb0RvYy54bWysU8uO0zAU3SPxD5b3NJmiTCFqOovpDJsR&#10;jAR8wK0fiSW/5Gua9u/n2i3tABuEyMK5vi/fc3y8vjs4y/YqoQl+4DeLljPlRZDGjwP//u3x3QfO&#10;MIOXYINXAz8q5Hebt2/Wc+zVMkzBSpUYNfHYz3HgU86xbxoUk3KAixCVp6AOyUGmbRobmWCm7s42&#10;y7a9beaQZExBKETybk9Bvqn9tVYif9EaVWZ24DRbrmuq666szWYN/ZggTkacx4B/mMKB8XTopdUW&#10;MrAfyfzRyhmRAgadFyK4JmhthKoYCM1N+xuarxNEVbEQORgvNOH/ays+7+/9cyIa5og9xudUUBx0&#10;cuVP87FDJet4IUsdMhPk7NputVp1nAmK3b7vCpXNtTQmzJ9UcKwYA7fGFyTQw/4J8yn1Z0pxW8/m&#10;gX/slqUhkBC0hUymi3Lg6Mdai8Ea+WisLRWYxt29TWwP5Wrrdx7hl7RyyBZwOuXV0OnSJwXywUuW&#10;j5F06UmdvIzglOTMKhJzsao8Mhj7N5mE3noi4cpksXZBHivB1U/XWGk6S67o5PW+Vl8fxuYFAAD/&#10;/wMAUEsDBBQABgAIAAAAIQBTzOpp2wAAAAcBAAAPAAAAZHJzL2Rvd25yZXYueG1sTI5PT8JAEMXv&#10;Jn6HzZh4IbAFDDS1W2LU3ryIGq9Dd2wbu7Olu0D10zuc8Pj+5L1fvhldp440hNazgfksAUVcedty&#10;beD9rZymoEJEtth5JgM/FGBTXF/lmFl/4lc6bmOtZIRDhgaaGPtM61A15DDMfE8s2ZcfHEaRQ63t&#10;gCcZd51eJMlKO2xZHhrs6bGh6nt7cAZC+UH78ndSTZLPZe1psX96eUZjbm/Gh3tQkcZ4KcMZX9Ch&#10;EKadP7ANqjOQzqUo9nINSuI0uVuB2p2NFHSR6//8xR8AAAD//wMAUEsBAi0AFAAGAAgAAAAhALaD&#10;OJL+AAAA4QEAABMAAAAAAAAAAAAAAAAAAAAAAFtDb250ZW50X1R5cGVzXS54bWxQSwECLQAUAAYA&#10;CAAAACEAOP0h/9YAAACUAQAACwAAAAAAAAAAAAAAAAAvAQAAX3JlbHMvLnJlbHNQSwECLQAUAAYA&#10;CAAAACEAj7qn2asBAABgAwAADgAAAAAAAAAAAAAAAAAuAgAAZHJzL2Uyb0RvYy54bWxQSwECLQAU&#10;AAYACAAAACEAU8zqadsAAAAHAQAADwAAAAAAAAAAAAAAAAAFBAAAZHJzL2Rvd25yZXYueG1sUEsF&#10;BgAAAAAEAAQA8wAAAA0FAAAAAA==&#10;"/>
            </w:pict>
          </mc:Fallback>
        </mc:AlternateContent>
      </w:r>
    </w:p>
    <w:p w14:paraId="00255820" w14:textId="77777777" w:rsidR="00280CC4" w:rsidRPr="003E7557" w:rsidRDefault="00487C27">
      <w:pPr>
        <w:suppressLineNumbers/>
        <w:adjustRightInd w:val="0"/>
        <w:contextualSpacing/>
        <w:rPr>
          <w:rFonts w:ascii="宋体" w:hAnsi="宋体" w:cs="宋体"/>
          <w:kern w:val="0"/>
          <w:szCs w:val="21"/>
        </w:rPr>
      </w:pPr>
      <w:r w:rsidRPr="003E7557">
        <w:rPr>
          <w:rFonts w:ascii="宋体" w:hAnsi="宋体" w:cs="宋体" w:hint="eastAsia"/>
          <w:kern w:val="0"/>
          <w:szCs w:val="21"/>
        </w:rPr>
        <w:t>起草单位：中国医药包装协会           联系电话：  010-62267215</w:t>
      </w:r>
    </w:p>
    <w:p w14:paraId="33B27F92" w14:textId="77777777" w:rsidR="00280CC4" w:rsidRPr="003E7557" w:rsidRDefault="00487C27">
      <w:pPr>
        <w:suppressLineNumbers/>
        <w:adjustRightInd w:val="0"/>
        <w:contextualSpacing/>
        <w:rPr>
          <w:rFonts w:ascii="宋体" w:hAnsi="宋体" w:cs="宋体"/>
          <w:kern w:val="0"/>
          <w:szCs w:val="21"/>
        </w:rPr>
      </w:pPr>
      <w:r w:rsidRPr="003E7557">
        <w:rPr>
          <w:rFonts w:ascii="宋体" w:hAnsi="宋体" w:cs="宋体" w:hint="eastAsia"/>
          <w:kern w:val="0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洛药业包装有限公司、肖特药品包装（浙江）有限公司、沧州四星玻璃股份有限公司、肖特玻管（浙江）有限公司、欧璧医药包装科技（中国）有限公司、湛江圣华玻璃容器有限公司、尼普洛医药包装容器（上海）有限公司、山东威高普瑞医药包装有限公司</w:t>
      </w:r>
    </w:p>
    <w:sectPr w:rsidR="00280CC4" w:rsidRPr="003E7557">
      <w:headerReference w:type="even" r:id="rId7"/>
      <w:headerReference w:type="default" r:id="rId8"/>
      <w:headerReference w:type="first" r:id="rId9"/>
      <w:pgSz w:w="11907" w:h="16840"/>
      <w:pgMar w:top="1440" w:right="1440" w:bottom="1440" w:left="1800" w:header="0" w:footer="567" w:gutter="0"/>
      <w:lnNumType w:countBy="1" w:restart="continuous"/>
      <w:pgNumType w:start="28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33A8" w14:textId="77777777" w:rsidR="00516332" w:rsidRDefault="00516332">
      <w:r>
        <w:separator/>
      </w:r>
    </w:p>
  </w:endnote>
  <w:endnote w:type="continuationSeparator" w:id="0">
    <w:p w14:paraId="27408D5E" w14:textId="77777777" w:rsidR="00516332" w:rsidRDefault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A637" w14:textId="77777777" w:rsidR="00516332" w:rsidRDefault="00516332">
      <w:r>
        <w:separator/>
      </w:r>
    </w:p>
  </w:footnote>
  <w:footnote w:type="continuationSeparator" w:id="0">
    <w:p w14:paraId="64BC33FA" w14:textId="77777777" w:rsidR="00516332" w:rsidRDefault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EB18" w14:textId="77777777" w:rsidR="00280CC4" w:rsidRDefault="00000000">
    <w:pPr>
      <w:pStyle w:val="ab"/>
    </w:pPr>
    <w:r>
      <w:pict w14:anchorId="7D4D5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0773" o:spid="_x0000_s3075" type="#_x0000_t136" style="position:absolute;left:0;text-align:left;margin-left:0;margin-top:0;width:509.15pt;height:101.8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ED58" w14:textId="77777777" w:rsidR="00280CC4" w:rsidRDefault="00280CC4">
    <w:pPr>
      <w:pStyle w:val="ab"/>
    </w:pPr>
  </w:p>
  <w:p w14:paraId="662F02E3" w14:textId="77777777" w:rsidR="00280CC4" w:rsidRDefault="00280CC4">
    <w:pPr>
      <w:pStyle w:val="ab"/>
    </w:pPr>
  </w:p>
  <w:p w14:paraId="348EA7F7" w14:textId="77777777" w:rsidR="00280CC4" w:rsidRDefault="00280CC4">
    <w:pPr>
      <w:pStyle w:val="ab"/>
    </w:pPr>
  </w:p>
  <w:p w14:paraId="5FCE7EFA" w14:textId="25A991AF" w:rsidR="00280CC4" w:rsidRDefault="00000000">
    <w:pPr>
      <w:pStyle w:val="ab"/>
    </w:pPr>
    <w:r>
      <w:pict w14:anchorId="1AC5D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3077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 w:rsidR="00487C27">
      <w:t xml:space="preserve">                                                                                     </w:t>
    </w:r>
    <w:r w:rsidR="00487C27">
      <w:rPr>
        <w:rFonts w:hint="eastAsia"/>
      </w:rPr>
      <w:t>2</w:t>
    </w:r>
    <w:r w:rsidR="00487C27">
      <w:t>02</w:t>
    </w:r>
    <w:r w:rsidR="00863864">
      <w:t>4</w:t>
    </w:r>
    <w:r w:rsidR="00487C27">
      <w:rPr>
        <w:rFonts w:hint="eastAsia"/>
      </w:rPr>
      <w:t>年</w:t>
    </w:r>
    <w:r w:rsidR="00487C27">
      <w:t>2</w:t>
    </w:r>
    <w:r w:rsidR="00487C27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EABC" w14:textId="77777777" w:rsidR="00280CC4" w:rsidRDefault="00000000">
    <w:pPr>
      <w:pStyle w:val="ab"/>
    </w:pPr>
    <w:r>
      <w:pict w14:anchorId="338EF5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0772" o:spid="_x0000_s3073" type="#_x0000_t136" style="position:absolute;left:0;text-align:left;margin-left:0;margin-top:0;width:509.15pt;height:101.8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8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hmZTMwMmNjYTQxNWFmYTFkNGFjOTg3NWFiN2FjNTcifQ=="/>
  </w:docVars>
  <w:rsids>
    <w:rsidRoot w:val="00D13254"/>
    <w:rsid w:val="00013919"/>
    <w:rsid w:val="00094457"/>
    <w:rsid w:val="000A5204"/>
    <w:rsid w:val="000B4572"/>
    <w:rsid w:val="000D4B23"/>
    <w:rsid w:val="000D68C9"/>
    <w:rsid w:val="000D7A94"/>
    <w:rsid w:val="000E1370"/>
    <w:rsid w:val="00141A75"/>
    <w:rsid w:val="00146186"/>
    <w:rsid w:val="0019671B"/>
    <w:rsid w:val="001A77C9"/>
    <w:rsid w:val="001F0002"/>
    <w:rsid w:val="002242FC"/>
    <w:rsid w:val="0024212F"/>
    <w:rsid w:val="00242264"/>
    <w:rsid w:val="00263CBE"/>
    <w:rsid w:val="00272782"/>
    <w:rsid w:val="00280CC4"/>
    <w:rsid w:val="002E489F"/>
    <w:rsid w:val="002F2F05"/>
    <w:rsid w:val="00330F6F"/>
    <w:rsid w:val="00332EDC"/>
    <w:rsid w:val="003330C8"/>
    <w:rsid w:val="00334715"/>
    <w:rsid w:val="00372B6A"/>
    <w:rsid w:val="00386172"/>
    <w:rsid w:val="003B7374"/>
    <w:rsid w:val="003E1B19"/>
    <w:rsid w:val="003E7557"/>
    <w:rsid w:val="00404C00"/>
    <w:rsid w:val="0044788F"/>
    <w:rsid w:val="00455E13"/>
    <w:rsid w:val="00464425"/>
    <w:rsid w:val="00472F66"/>
    <w:rsid w:val="00487C27"/>
    <w:rsid w:val="00493853"/>
    <w:rsid w:val="00494F9F"/>
    <w:rsid w:val="004A010E"/>
    <w:rsid w:val="0050268E"/>
    <w:rsid w:val="00516332"/>
    <w:rsid w:val="00525CB1"/>
    <w:rsid w:val="00555E49"/>
    <w:rsid w:val="00556290"/>
    <w:rsid w:val="00576F86"/>
    <w:rsid w:val="005C14C5"/>
    <w:rsid w:val="005D380C"/>
    <w:rsid w:val="006426B6"/>
    <w:rsid w:val="0066351D"/>
    <w:rsid w:val="00663937"/>
    <w:rsid w:val="00686D87"/>
    <w:rsid w:val="006E496C"/>
    <w:rsid w:val="006E55F5"/>
    <w:rsid w:val="00761796"/>
    <w:rsid w:val="007A3E2D"/>
    <w:rsid w:val="007C7E7F"/>
    <w:rsid w:val="007D70B9"/>
    <w:rsid w:val="00823DC1"/>
    <w:rsid w:val="00844F6B"/>
    <w:rsid w:val="00853AC2"/>
    <w:rsid w:val="00863864"/>
    <w:rsid w:val="008A581E"/>
    <w:rsid w:val="008C39B3"/>
    <w:rsid w:val="0094004C"/>
    <w:rsid w:val="00943550"/>
    <w:rsid w:val="00961811"/>
    <w:rsid w:val="00985AC0"/>
    <w:rsid w:val="009B6479"/>
    <w:rsid w:val="00A57CC4"/>
    <w:rsid w:val="00AC05ED"/>
    <w:rsid w:val="00B060CE"/>
    <w:rsid w:val="00B10AC6"/>
    <w:rsid w:val="00B14B9C"/>
    <w:rsid w:val="00B412E5"/>
    <w:rsid w:val="00BC2F22"/>
    <w:rsid w:val="00C041DE"/>
    <w:rsid w:val="00C76BEF"/>
    <w:rsid w:val="00C91749"/>
    <w:rsid w:val="00CB61FE"/>
    <w:rsid w:val="00CC6FAE"/>
    <w:rsid w:val="00D00AC5"/>
    <w:rsid w:val="00D13089"/>
    <w:rsid w:val="00D13254"/>
    <w:rsid w:val="00D43D83"/>
    <w:rsid w:val="00D93618"/>
    <w:rsid w:val="00DC1358"/>
    <w:rsid w:val="00DC431B"/>
    <w:rsid w:val="00DF6421"/>
    <w:rsid w:val="00DF6B61"/>
    <w:rsid w:val="00E101C9"/>
    <w:rsid w:val="00E2022C"/>
    <w:rsid w:val="00E32AFC"/>
    <w:rsid w:val="00E459CE"/>
    <w:rsid w:val="00E673EF"/>
    <w:rsid w:val="00E90DBC"/>
    <w:rsid w:val="00F0149C"/>
    <w:rsid w:val="00F568A7"/>
    <w:rsid w:val="00F743B2"/>
    <w:rsid w:val="00FC5818"/>
    <w:rsid w:val="13813C0C"/>
    <w:rsid w:val="2F172B37"/>
    <w:rsid w:val="429B1EB7"/>
    <w:rsid w:val="63095D5A"/>
    <w:rsid w:val="6A3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 fillcolor="white">
      <v:fill color="white"/>
    </o:shapedefaults>
    <o:shapelayout v:ext="edit">
      <o:idmap v:ext="edit" data="2"/>
    </o:shapelayout>
  </w:shapeDefaults>
  <w:decimalSymbol w:val="."/>
  <w:listSeparator w:val=","/>
  <w14:docId w14:val="381B5B44"/>
  <w15:docId w15:val="{26019BC7-E4D3-4313-A66D-A27D0A9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uiPriority w:val="99"/>
    <w:qFormat/>
    <w:pPr>
      <w:widowControl/>
      <w:spacing w:line="360" w:lineRule="auto"/>
      <w:ind w:firstLineChars="200" w:firstLine="200"/>
    </w:pPr>
    <w:rPr>
      <w:rFonts w:ascii="宋体" w:hAnsi="Courier New"/>
      <w:kern w:val="0"/>
      <w:sz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qFormat/>
    <w:pPr>
      <w:widowControl/>
      <w:spacing w:line="360" w:lineRule="auto"/>
      <w:ind w:firstLineChars="200" w:firstLine="420"/>
    </w:pPr>
    <w:rPr>
      <w:szCs w:val="21"/>
    </w:rPr>
  </w:style>
  <w:style w:type="paragraph" w:customStyle="1" w:styleId="111">
    <w:name w:val="纯文本11"/>
    <w:basedOn w:val="a"/>
    <w:qFormat/>
    <w:pPr>
      <w:widowControl/>
      <w:spacing w:line="360" w:lineRule="auto"/>
      <w:ind w:firstLineChars="200" w:firstLine="200"/>
    </w:pPr>
    <w:rPr>
      <w:rFonts w:ascii="宋体" w:hAnsi="Courier New" w:cs="宋体"/>
      <w:kern w:val="0"/>
      <w:sz w:val="20"/>
    </w:r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0">
    <w:name w:val="修订3"/>
    <w:hidden/>
    <w:uiPriority w:val="99"/>
    <w:semiHidden/>
    <w:rPr>
      <w:kern w:val="2"/>
      <w:sz w:val="21"/>
    </w:rPr>
  </w:style>
  <w:style w:type="paragraph" w:styleId="af2">
    <w:name w:val="Revision"/>
    <w:hidden/>
    <w:uiPriority w:val="99"/>
    <w:semiHidden/>
    <w:rsid w:val="00E32A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/>
    <customShpInfo spid="_x0000_s3075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用华 高</cp:lastModifiedBy>
  <cp:revision>2</cp:revision>
  <cp:lastPrinted>2024-01-29T10:30:00Z</cp:lastPrinted>
  <dcterms:created xsi:type="dcterms:W3CDTF">2024-01-30T08:59:00Z</dcterms:created>
  <dcterms:modified xsi:type="dcterms:W3CDTF">2024-01-30T08:59:00Z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FBDA9C13AFF731E8DED2A961B190FDC1</vt:lpwstr>
  </property>
  <property fmtid="{D5CDD505-2E9C-101B-9397-08002B2CF9AE}" pid="4" name="TitusGUID">
    <vt:lpwstr>0283c107-3d4a-494b-ba26-26b5dd88c575</vt:lpwstr>
  </property>
  <property fmtid="{D5CDD505-2E9C-101B-9397-08002B2CF9AE}" pid="5" name="MSIP_Label_4b9664e8-5bac-43dd-9fd7-fd5d06fe239a_Enabled">
    <vt:lpwstr>true</vt:lpwstr>
  </property>
  <property fmtid="{D5CDD505-2E9C-101B-9397-08002B2CF9AE}" pid="6" name="MSIP_Label_4b9664e8-5bac-43dd-9fd7-fd5d06fe239a_SetDate">
    <vt:lpwstr>2023-05-23T03:24:06Z</vt:lpwstr>
  </property>
  <property fmtid="{D5CDD505-2E9C-101B-9397-08002B2CF9AE}" pid="7" name="MSIP_Label_4b9664e8-5bac-43dd-9fd7-fd5d06fe239a_Method">
    <vt:lpwstr>Privileged</vt:lpwstr>
  </property>
  <property fmtid="{D5CDD505-2E9C-101B-9397-08002B2CF9AE}" pid="8" name="MSIP_Label_4b9664e8-5bac-43dd-9fd7-fd5d06fe239a_Name">
    <vt:lpwstr>Non-Corning</vt:lpwstr>
  </property>
  <property fmtid="{D5CDD505-2E9C-101B-9397-08002B2CF9AE}" pid="9" name="MSIP_Label_4b9664e8-5bac-43dd-9fd7-fd5d06fe239a_SiteId">
    <vt:lpwstr>b36a1e05-4a62-442b-83cf-dbdd6d7810e4</vt:lpwstr>
  </property>
  <property fmtid="{D5CDD505-2E9C-101B-9397-08002B2CF9AE}" pid="10" name="MSIP_Label_4b9664e8-5bac-43dd-9fd7-fd5d06fe239a_ActionId">
    <vt:lpwstr>fbde57cf-8392-49ae-9623-2b0f6d3a938f</vt:lpwstr>
  </property>
  <property fmtid="{D5CDD505-2E9C-101B-9397-08002B2CF9AE}" pid="11" name="MSIP_Label_4b9664e8-5bac-43dd-9fd7-fd5d06fe239a_ContentBits">
    <vt:lpwstr>0</vt:lpwstr>
  </property>
  <property fmtid="{D5CDD505-2E9C-101B-9397-08002B2CF9AE}" pid="12" name="CorningFullClassification">
    <vt:lpwstr>TitusReset-MIP</vt:lpwstr>
  </property>
  <property fmtid="{D5CDD505-2E9C-101B-9397-08002B2CF9AE}" pid="13" name="_AdHocReviewCycleID">
    <vt:i4>253384065</vt:i4>
  </property>
  <property fmtid="{D5CDD505-2E9C-101B-9397-08002B2CF9AE}" pid="14" name="_NewReviewCycle">
    <vt:lpwstr/>
  </property>
  <property fmtid="{D5CDD505-2E9C-101B-9397-08002B2CF9AE}" pid="15" name="_EmailSubject">
    <vt:lpwstr>【中国药典2025通则译文-修订】5100~5106章节</vt:lpwstr>
  </property>
  <property fmtid="{D5CDD505-2E9C-101B-9397-08002B2CF9AE}" pid="16" name="_AuthorEmail">
    <vt:lpwstr>LiY144@corning.com</vt:lpwstr>
  </property>
  <property fmtid="{D5CDD505-2E9C-101B-9397-08002B2CF9AE}" pid="17" name="_AuthorEmailDisplayName">
    <vt:lpwstr>Li, Yuntao (Hiro)</vt:lpwstr>
  </property>
  <property fmtid="{D5CDD505-2E9C-101B-9397-08002B2CF9AE}" pid="18" name="_PreviousAdHocReviewCycleID">
    <vt:i4>253384065</vt:i4>
  </property>
  <property fmtid="{D5CDD505-2E9C-101B-9397-08002B2CF9AE}" pid="19" name="_ReviewingToolsShownOnce">
    <vt:lpwstr/>
  </property>
</Properties>
</file>